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4F21" w14:textId="12E31FEF" w:rsidR="00192562" w:rsidRDefault="00192562" w:rsidP="00192562">
      <w:pPr>
        <w:jc w:val="both"/>
        <w:outlineLvl w:val="0"/>
        <w:rPr>
          <w:b/>
          <w:sz w:val="32"/>
          <w:szCs w:val="32"/>
        </w:rPr>
      </w:pPr>
      <w:r>
        <w:rPr>
          <w:b/>
          <w:sz w:val="32"/>
          <w:szCs w:val="32"/>
        </w:rPr>
        <w:t xml:space="preserve">Emission </w:t>
      </w:r>
      <w:r w:rsidR="00CF1C60">
        <w:rPr>
          <w:b/>
          <w:sz w:val="32"/>
          <w:szCs w:val="32"/>
        </w:rPr>
        <w:t xml:space="preserve">Allowance </w:t>
      </w:r>
      <w:r w:rsidR="00011C02">
        <w:rPr>
          <w:b/>
          <w:sz w:val="32"/>
          <w:szCs w:val="32"/>
        </w:rPr>
        <w:t>Projections</w:t>
      </w:r>
    </w:p>
    <w:p w14:paraId="6A178A70" w14:textId="77777777" w:rsidR="00192562" w:rsidRDefault="00192562" w:rsidP="00192562">
      <w:pPr>
        <w:jc w:val="both"/>
        <w:rPr>
          <w:b/>
          <w:sz w:val="32"/>
          <w:szCs w:val="32"/>
        </w:rPr>
      </w:pPr>
    </w:p>
    <w:p w14:paraId="2426E8A5" w14:textId="6E2F87A0" w:rsidR="00192562" w:rsidRDefault="00192562" w:rsidP="00192562">
      <w:pPr>
        <w:autoSpaceDE w:val="0"/>
        <w:autoSpaceDN w:val="0"/>
        <w:adjustRightInd w:val="0"/>
        <w:jc w:val="both"/>
      </w:pPr>
      <w:r>
        <w:t>Emission allowance</w:t>
      </w:r>
      <w:r w:rsidR="00E11F54">
        <w:t xml:space="preserve"> </w:t>
      </w:r>
      <w:r>
        <w:t>projections are updated in conjunction with each update to the Fuel/Energy Budget.</w:t>
      </w:r>
      <w:r w:rsidR="00C9071E">
        <w:t xml:space="preserve"> </w:t>
      </w:r>
      <w:r>
        <w:t>Charles River Associates, Inc. (“CRA”) based in Boston, Massachusetts is the primary consultant we utilize in projecting the long-term future prices of all SO</w:t>
      </w:r>
      <w:r w:rsidRPr="003068A4">
        <w:rPr>
          <w:vertAlign w:val="subscript"/>
        </w:rPr>
        <w:t>2</w:t>
      </w:r>
      <w:r>
        <w:t xml:space="preserve">, Seasonal NOx and Annual NOx allowances. Southern Company Services (“SCS”) employs CRA to run its US </w:t>
      </w:r>
      <w:r w:rsidR="004471E9">
        <w:t>macro-economic</w:t>
      </w:r>
      <w:r>
        <w:t xml:space="preserve"> model to predict these allowance prices in the future. </w:t>
      </w:r>
      <w:r w:rsidR="1F5F596E">
        <w:t xml:space="preserve">Georgia Power </w:t>
      </w:r>
      <w:r>
        <w:t>reviews allowance cost data used by</w:t>
      </w:r>
      <w:r w:rsidR="00FA225C">
        <w:t xml:space="preserve"> the Environmental Protection Agency’s</w:t>
      </w:r>
      <w:r>
        <w:t xml:space="preserve"> </w:t>
      </w:r>
      <w:r w:rsidR="00FA225C">
        <w:t>(“</w:t>
      </w:r>
      <w:r>
        <w:t>EPA</w:t>
      </w:r>
      <w:r w:rsidR="00FA225C">
        <w:t>”)</w:t>
      </w:r>
      <w:r>
        <w:t xml:space="preserve"> Clean Air Markets Division by ICF International (“ICF”) using its macro</w:t>
      </w:r>
      <w:r w:rsidR="00D75E29">
        <w:t>-</w:t>
      </w:r>
      <w:r>
        <w:t>Integrated Planning Model (“IPM”) model and also reviews and compares cost projections provided by John Dean Energy in arriving at a consensus forecast of future allowance costs/prices. John Dean Energy’s monthly forecast is utilized as the short-term (up to 36 months) price forecast.</w:t>
      </w:r>
    </w:p>
    <w:p w14:paraId="03B7C262" w14:textId="77777777" w:rsidR="00192562" w:rsidRDefault="00192562" w:rsidP="00192562">
      <w:pPr>
        <w:autoSpaceDE w:val="0"/>
        <w:autoSpaceDN w:val="0"/>
        <w:adjustRightInd w:val="0"/>
        <w:jc w:val="both"/>
      </w:pPr>
    </w:p>
    <w:p w14:paraId="3BA8E52C" w14:textId="3072FE6F" w:rsidR="00192562" w:rsidRDefault="00192562" w:rsidP="00192562">
      <w:pPr>
        <w:autoSpaceDE w:val="0"/>
        <w:autoSpaceDN w:val="0"/>
        <w:adjustRightInd w:val="0"/>
        <w:jc w:val="both"/>
        <w:rPr>
          <w:rFonts w:ascii="Arial" w:hAnsi="Arial" w:cs="Arial"/>
          <w:sz w:val="20"/>
          <w:szCs w:val="20"/>
        </w:rPr>
      </w:pPr>
      <w:r>
        <w:t xml:space="preserve">The allowance price projections are then loaded into the Southern Company </w:t>
      </w:r>
      <w:r w:rsidR="00627550">
        <w:t>Aurora</w:t>
      </w:r>
      <w:r>
        <w:t xml:space="preserve"> model as are projections of future load, forecasted</w:t>
      </w:r>
      <w:r w:rsidR="00154427">
        <w:t xml:space="preserve"> fuel</w:t>
      </w:r>
      <w:r>
        <w:t xml:space="preserve"> prices, unit outage schedules, </w:t>
      </w:r>
      <w:r w:rsidR="00154427">
        <w:t>environmental regulation/legislation</w:t>
      </w:r>
      <w:r>
        <w:t xml:space="preserve"> </w:t>
      </w:r>
      <w:r w:rsidR="000051A1">
        <w:t xml:space="preserve">compliance </w:t>
      </w:r>
      <w:r>
        <w:t>schedules</w:t>
      </w:r>
      <w:r w:rsidR="067593A2">
        <w:t>,</w:t>
      </w:r>
      <w:r>
        <w:t xml:space="preserve"> and many other inputs to generate projected SO</w:t>
      </w:r>
      <w:r w:rsidRPr="00FA225C">
        <w:rPr>
          <w:vertAlign w:val="subscript"/>
        </w:rPr>
        <w:t>2</w:t>
      </w:r>
      <w:r>
        <w:t xml:space="preserve"> and NOx emissions in the future.  This emissions output is then compared with current holdings of allowances, allocations from the EPA and prior allowance purchases to determine if there are any years in the future </w:t>
      </w:r>
      <w:r w:rsidR="267699E8">
        <w:t xml:space="preserve">Georgia Power </w:t>
      </w:r>
      <w:r>
        <w:t>is projected to be in a net short position regarding allowance needs as defined by the various EPA programs. This output is used as the basis for future purchases of allowances at or below the forecasted prices.</w:t>
      </w:r>
    </w:p>
    <w:p w14:paraId="596C8BF8" w14:textId="77777777" w:rsidR="00192562" w:rsidRDefault="00192562" w:rsidP="00192562">
      <w:pPr>
        <w:jc w:val="both"/>
      </w:pPr>
    </w:p>
    <w:p w14:paraId="344291C5" w14:textId="77777777" w:rsidR="00192562" w:rsidRDefault="00192562" w:rsidP="009418A0">
      <w:pPr>
        <w:numPr>
          <w:ilvl w:val="0"/>
          <w:numId w:val="2"/>
        </w:numPr>
        <w:jc w:val="both"/>
      </w:pPr>
      <w:r>
        <w:t>Attachment MFRP-16A provides a tabulation of total number of SO</w:t>
      </w:r>
      <w:r>
        <w:rPr>
          <w:vertAlign w:val="subscript"/>
        </w:rPr>
        <w:t>2</w:t>
      </w:r>
      <w:r>
        <w:t xml:space="preserve"> emission allowances allocated to Georgia Power for the test </w:t>
      </w:r>
      <w:r w:rsidR="007117CE">
        <w:t>period</w:t>
      </w:r>
      <w:r>
        <w:t>.</w:t>
      </w:r>
    </w:p>
    <w:p w14:paraId="78DF02E3" w14:textId="77777777" w:rsidR="00192562" w:rsidRDefault="00192562" w:rsidP="009418A0">
      <w:pPr>
        <w:jc w:val="both"/>
      </w:pPr>
    </w:p>
    <w:p w14:paraId="1E7EB3E1" w14:textId="77777777" w:rsidR="00192562" w:rsidRDefault="00192562" w:rsidP="009418A0">
      <w:pPr>
        <w:numPr>
          <w:ilvl w:val="0"/>
          <w:numId w:val="2"/>
        </w:numPr>
        <w:jc w:val="both"/>
      </w:pPr>
      <w:r>
        <w:t>Attachment MFRP-16B provides the number of SO</w:t>
      </w:r>
      <w:r>
        <w:rPr>
          <w:vertAlign w:val="subscript"/>
        </w:rPr>
        <w:t xml:space="preserve">2 </w:t>
      </w:r>
      <w:r>
        <w:t>emission</w:t>
      </w:r>
      <w:r>
        <w:rPr>
          <w:vertAlign w:val="subscript"/>
        </w:rPr>
        <w:t xml:space="preserve"> </w:t>
      </w:r>
      <w:r>
        <w:t xml:space="preserve">allowances retained for auction by EPA and resulting revenue returned to Georgia Power for the test </w:t>
      </w:r>
      <w:r w:rsidR="007117CE">
        <w:t>period</w:t>
      </w:r>
      <w:r>
        <w:t>.</w:t>
      </w:r>
    </w:p>
    <w:p w14:paraId="7DC78A7D" w14:textId="77777777" w:rsidR="00192562" w:rsidRDefault="00192562" w:rsidP="009418A0">
      <w:pPr>
        <w:jc w:val="both"/>
      </w:pPr>
    </w:p>
    <w:p w14:paraId="6B18CFC0" w14:textId="0776BB4E" w:rsidR="00192562" w:rsidRDefault="00192562" w:rsidP="009418A0">
      <w:pPr>
        <w:numPr>
          <w:ilvl w:val="0"/>
          <w:numId w:val="2"/>
        </w:numPr>
        <w:jc w:val="both"/>
      </w:pPr>
      <w:r>
        <w:t>A tabulation of SO</w:t>
      </w:r>
      <w:r>
        <w:rPr>
          <w:vertAlign w:val="subscript"/>
        </w:rPr>
        <w:t xml:space="preserve">2 </w:t>
      </w:r>
      <w:r>
        <w:t xml:space="preserve">emission allowance activity with information anticipated through the end of the test </w:t>
      </w:r>
      <w:r w:rsidR="001D60EF">
        <w:t>period</w:t>
      </w:r>
      <w:r>
        <w:t xml:space="preserve"> is provided </w:t>
      </w:r>
      <w:r w:rsidR="00A86F30">
        <w:t>i</w:t>
      </w:r>
      <w:r>
        <w:t>n the following attachments:</w:t>
      </w:r>
    </w:p>
    <w:p w14:paraId="31E6D9C9" w14:textId="77777777" w:rsidR="00192562" w:rsidRDefault="00192562" w:rsidP="009418A0">
      <w:pPr>
        <w:pStyle w:val="ExhibitA2"/>
        <w:numPr>
          <w:ilvl w:val="0"/>
          <w:numId w:val="0"/>
        </w:numPr>
        <w:tabs>
          <w:tab w:val="left" w:pos="720"/>
        </w:tabs>
        <w:ind w:left="1440" w:hanging="720"/>
        <w:jc w:val="both"/>
      </w:pPr>
      <w:r>
        <w:t>a.</w:t>
      </w:r>
      <w:r>
        <w:tab/>
        <w:t>Attachment MFRP-16A provides the number and vintage of allowances banked by Georgia Power.</w:t>
      </w:r>
    </w:p>
    <w:p w14:paraId="003DB031" w14:textId="77777777" w:rsidR="00192562" w:rsidRDefault="00192562" w:rsidP="009418A0">
      <w:pPr>
        <w:pStyle w:val="ExhibitA4"/>
        <w:numPr>
          <w:ilvl w:val="0"/>
          <w:numId w:val="0"/>
        </w:numPr>
        <w:tabs>
          <w:tab w:val="left" w:pos="720"/>
        </w:tabs>
        <w:ind w:left="1440" w:hanging="720"/>
        <w:jc w:val="both"/>
      </w:pPr>
      <w:r>
        <w:t>b.</w:t>
      </w:r>
      <w:r>
        <w:tab/>
        <w:t>Attachment MFRP-16C provides the projected monthly number of SO</w:t>
      </w:r>
      <w:r>
        <w:rPr>
          <w:vertAlign w:val="subscript"/>
        </w:rPr>
        <w:t>2</w:t>
      </w:r>
      <w:r>
        <w:t xml:space="preserve"> emission allowances surrendered to EPA for the test period on both a total Company and Georgia Retail basis.</w:t>
      </w:r>
    </w:p>
    <w:p w14:paraId="599CF5CE" w14:textId="77777777" w:rsidR="00192562" w:rsidRDefault="00192562" w:rsidP="009418A0">
      <w:pPr>
        <w:pStyle w:val="ExhibitA4"/>
        <w:numPr>
          <w:ilvl w:val="0"/>
          <w:numId w:val="0"/>
        </w:numPr>
        <w:tabs>
          <w:tab w:val="left" w:pos="720"/>
        </w:tabs>
        <w:ind w:left="1440" w:hanging="720"/>
        <w:jc w:val="both"/>
      </w:pPr>
      <w:r>
        <w:t>c.</w:t>
      </w:r>
      <w:r>
        <w:tab/>
        <w:t>No allowances are projected to be sold through the end of the test period.</w:t>
      </w:r>
    </w:p>
    <w:p w14:paraId="758ECDE7" w14:textId="4697C529" w:rsidR="00192562" w:rsidRPr="008B0874" w:rsidRDefault="00192562" w:rsidP="009418A0">
      <w:pPr>
        <w:pStyle w:val="ExhibitA4"/>
        <w:numPr>
          <w:ilvl w:val="3"/>
          <w:numId w:val="0"/>
        </w:numPr>
        <w:tabs>
          <w:tab w:val="left" w:pos="720"/>
        </w:tabs>
        <w:ind w:left="1440" w:hanging="720"/>
        <w:jc w:val="both"/>
      </w:pPr>
      <w:r>
        <w:t>d.</w:t>
      </w:r>
      <w:r>
        <w:tab/>
      </w:r>
      <w:r w:rsidR="206AF092">
        <w:t xml:space="preserve">Georgia Power </w:t>
      </w:r>
      <w:r>
        <w:t>does not anticipate SO</w:t>
      </w:r>
      <w:r w:rsidRPr="0033639A">
        <w:rPr>
          <w:vertAlign w:val="subscript"/>
        </w:rPr>
        <w:t>2</w:t>
      </w:r>
      <w:r>
        <w:t xml:space="preserve"> allowance purchases through the end of the test period.</w:t>
      </w:r>
    </w:p>
    <w:p w14:paraId="027E1EFE" w14:textId="477391C2" w:rsidR="00192562" w:rsidRDefault="00192562" w:rsidP="009418A0">
      <w:pPr>
        <w:pStyle w:val="ExhibitA4"/>
        <w:numPr>
          <w:ilvl w:val="3"/>
          <w:numId w:val="0"/>
        </w:numPr>
        <w:tabs>
          <w:tab w:val="left" w:pos="720"/>
        </w:tabs>
        <w:ind w:left="1440" w:hanging="720"/>
        <w:jc w:val="both"/>
      </w:pPr>
      <w:r>
        <w:t>e.</w:t>
      </w:r>
      <w:r>
        <w:tab/>
      </w:r>
      <w:r w:rsidR="6179EB20">
        <w:t xml:space="preserve">Georgia Power </w:t>
      </w:r>
      <w:r>
        <w:t xml:space="preserve">does not anticipate </w:t>
      </w:r>
      <w:r w:rsidR="008B0874">
        <w:t>NO</w:t>
      </w:r>
      <w:r w:rsidR="00FA225C">
        <w:t>x</w:t>
      </w:r>
      <w:r>
        <w:t xml:space="preserve"> allowance purchases through the end of the test period.</w:t>
      </w:r>
    </w:p>
    <w:p w14:paraId="3B77A45B" w14:textId="77777777" w:rsidR="00192562" w:rsidRDefault="00192562" w:rsidP="009418A0">
      <w:pPr>
        <w:jc w:val="both"/>
      </w:pPr>
    </w:p>
    <w:p w14:paraId="77E905BC" w14:textId="6C44CB79" w:rsidR="00192562" w:rsidRDefault="00192562" w:rsidP="009418A0">
      <w:pPr>
        <w:numPr>
          <w:ilvl w:val="0"/>
          <w:numId w:val="2"/>
        </w:numPr>
        <w:jc w:val="both"/>
      </w:pPr>
      <w:r>
        <w:t xml:space="preserve">Attachment MFRP-16D provides a tabulation of all NOx allowance activity, i.e., allocation, purchase, use, trade or sales, anticipated through the end of the test </w:t>
      </w:r>
      <w:r w:rsidR="003A5FA1">
        <w:t>period</w:t>
      </w:r>
      <w:r>
        <w:t>.</w:t>
      </w:r>
    </w:p>
    <w:p w14:paraId="418DE380" w14:textId="77777777" w:rsidR="00192562" w:rsidRDefault="00192562" w:rsidP="009418A0">
      <w:pPr>
        <w:jc w:val="both"/>
        <w:sectPr w:rsidR="00192562">
          <w:headerReference w:type="default" r:id="rId7"/>
          <w:footerReference w:type="default" r:id="rId8"/>
          <w:pgSz w:w="12240" w:h="15840"/>
          <w:pgMar w:top="1440" w:right="1800" w:bottom="1260" w:left="1800" w:header="720" w:footer="720" w:gutter="0"/>
          <w:cols w:space="720"/>
        </w:sectPr>
      </w:pPr>
    </w:p>
    <w:p w14:paraId="7B5D760B" w14:textId="51696ABA" w:rsidR="00192562" w:rsidRDefault="00192562" w:rsidP="009418A0">
      <w:pPr>
        <w:numPr>
          <w:ilvl w:val="0"/>
          <w:numId w:val="2"/>
        </w:numPr>
        <w:jc w:val="both"/>
      </w:pPr>
      <w:r>
        <w:lastRenderedPageBreak/>
        <w:t xml:space="preserve">Attachment MFRP-16E provides a table of </w:t>
      </w:r>
      <w:r w:rsidR="00B157F5">
        <w:t>forecasted</w:t>
      </w:r>
      <w:r>
        <w:t xml:space="preserve"> market price</w:t>
      </w:r>
      <w:r w:rsidR="00B157F5">
        <w:t>s</w:t>
      </w:r>
      <w:r>
        <w:t xml:space="preserve"> </w:t>
      </w:r>
      <w:r w:rsidR="00B157F5">
        <w:t xml:space="preserve">by </w:t>
      </w:r>
      <w:r>
        <w:t xml:space="preserve">month </w:t>
      </w:r>
      <w:r w:rsidR="0068252A">
        <w:t xml:space="preserve">of </w:t>
      </w:r>
      <w:r w:rsidR="00815763">
        <w:t>SO</w:t>
      </w:r>
      <w:r w:rsidR="00815763">
        <w:rPr>
          <w:vertAlign w:val="subscript"/>
        </w:rPr>
        <w:t>2</w:t>
      </w:r>
      <w:r w:rsidR="0068252A">
        <w:t xml:space="preserve"> emission allowances </w:t>
      </w:r>
      <w:r>
        <w:t xml:space="preserve">through </w:t>
      </w:r>
      <w:r w:rsidR="0068252A">
        <w:t xml:space="preserve">the </w:t>
      </w:r>
      <w:r>
        <w:t xml:space="preserve">end of </w:t>
      </w:r>
      <w:r w:rsidR="00B157F5">
        <w:t xml:space="preserve">the </w:t>
      </w:r>
      <w:r>
        <w:t xml:space="preserve">test </w:t>
      </w:r>
      <w:r w:rsidR="0063083C">
        <w:t>period</w:t>
      </w:r>
      <w:r>
        <w:t>.</w:t>
      </w:r>
      <w:r w:rsidR="00815763">
        <w:t xml:space="preserve"> Refer to MFRH-16 for historical market prices.</w:t>
      </w:r>
    </w:p>
    <w:p w14:paraId="4B868E50" w14:textId="77777777" w:rsidR="00192562" w:rsidRDefault="00192562" w:rsidP="009418A0">
      <w:pPr>
        <w:jc w:val="both"/>
      </w:pPr>
    </w:p>
    <w:p w14:paraId="21524D1D" w14:textId="77777777" w:rsidR="00815763" w:rsidRDefault="00192562" w:rsidP="009418A0">
      <w:pPr>
        <w:numPr>
          <w:ilvl w:val="0"/>
          <w:numId w:val="2"/>
        </w:numPr>
        <w:jc w:val="both"/>
      </w:pPr>
      <w:r>
        <w:t xml:space="preserve">Attachment MFRP-16F provides a </w:t>
      </w:r>
      <w:r w:rsidR="00B157F5" w:rsidRPr="00B157F5">
        <w:t xml:space="preserve">table of forecasted market prices by month </w:t>
      </w:r>
      <w:r>
        <w:t>of NOx emission allowances and source of information, including the projec</w:t>
      </w:r>
      <w:r w:rsidR="00B157F5">
        <w:t xml:space="preserve">ted market prices </w:t>
      </w:r>
      <w:r>
        <w:t xml:space="preserve">through </w:t>
      </w:r>
      <w:r w:rsidR="0068252A">
        <w:t xml:space="preserve">the </w:t>
      </w:r>
      <w:r>
        <w:t xml:space="preserve">end of test </w:t>
      </w:r>
      <w:r w:rsidR="0063083C">
        <w:t>period</w:t>
      </w:r>
      <w:r>
        <w:t>.</w:t>
      </w:r>
      <w:r w:rsidR="00815763">
        <w:t xml:space="preserve"> Refer to MFRH-16 for historical market prices.</w:t>
      </w:r>
    </w:p>
    <w:p w14:paraId="3A4096E6" w14:textId="77777777" w:rsidR="00192562" w:rsidRDefault="00192562" w:rsidP="009418A0">
      <w:pPr>
        <w:jc w:val="both"/>
      </w:pPr>
    </w:p>
    <w:p w14:paraId="5AE9C7C0" w14:textId="0E91FC5E" w:rsidR="00192562" w:rsidRDefault="00192562" w:rsidP="009418A0">
      <w:pPr>
        <w:numPr>
          <w:ilvl w:val="0"/>
          <w:numId w:val="2"/>
        </w:numPr>
        <w:jc w:val="both"/>
      </w:pPr>
      <w:r>
        <w:t>Attachment MFRP-16G provides projected SO</w:t>
      </w:r>
      <w:r>
        <w:rPr>
          <w:vertAlign w:val="subscript"/>
        </w:rPr>
        <w:t>2</w:t>
      </w:r>
      <w:r>
        <w:t xml:space="preserve"> emissions, in tons, by unit</w:t>
      </w:r>
      <w:r w:rsidR="0068252A">
        <w:t>, by month, through the end of test period.</w:t>
      </w:r>
    </w:p>
    <w:p w14:paraId="55A0F48E" w14:textId="77777777" w:rsidR="00192562" w:rsidRDefault="00192562" w:rsidP="009418A0">
      <w:pPr>
        <w:jc w:val="both"/>
      </w:pPr>
    </w:p>
    <w:p w14:paraId="1AD2C354" w14:textId="567D66A1" w:rsidR="00192562" w:rsidRDefault="00192562" w:rsidP="009418A0">
      <w:pPr>
        <w:numPr>
          <w:ilvl w:val="0"/>
          <w:numId w:val="2"/>
        </w:numPr>
        <w:jc w:val="both"/>
      </w:pPr>
      <w:r>
        <w:t xml:space="preserve">Attachment MFRP-16H provides projected Seasonal NOx emissions, in tons, by unit, </w:t>
      </w:r>
      <w:r w:rsidR="0068252A">
        <w:t xml:space="preserve">by month </w:t>
      </w:r>
      <w:r>
        <w:t>and Attachment MFRP-16I provides projected Annual NOx emissions, in tons, by unit</w:t>
      </w:r>
      <w:r w:rsidR="0068252A">
        <w:t>, by month.</w:t>
      </w:r>
    </w:p>
    <w:p w14:paraId="0CD73FA3" w14:textId="77777777" w:rsidR="00815763" w:rsidRDefault="00815763" w:rsidP="009418A0">
      <w:pPr>
        <w:pStyle w:val="ListParagraph"/>
        <w:jc w:val="both"/>
      </w:pPr>
    </w:p>
    <w:p w14:paraId="23D711EC" w14:textId="22D45394" w:rsidR="00815763" w:rsidRDefault="00815763" w:rsidP="009418A0">
      <w:pPr>
        <w:ind w:left="360"/>
        <w:jc w:val="both"/>
      </w:pPr>
    </w:p>
    <w:p w14:paraId="229C3BE5" w14:textId="77777777" w:rsidR="009B1E46" w:rsidRDefault="009B1E46"/>
    <w:sectPr w:rsidR="009B1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596A9" w14:textId="77777777" w:rsidR="007D2542" w:rsidRDefault="007D2542" w:rsidP="00192562">
      <w:r>
        <w:separator/>
      </w:r>
    </w:p>
  </w:endnote>
  <w:endnote w:type="continuationSeparator" w:id="0">
    <w:p w14:paraId="30F5A8FB" w14:textId="77777777" w:rsidR="007D2542" w:rsidRDefault="007D2542" w:rsidP="0019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FBE9" w14:textId="77777777" w:rsidR="00B71265" w:rsidRPr="00B71265" w:rsidRDefault="00B71265">
    <w:pPr>
      <w:pStyle w:val="Footer"/>
      <w:jc w:val="center"/>
    </w:pPr>
    <w:r w:rsidRPr="00B71265">
      <w:t xml:space="preserve">Page </w:t>
    </w:r>
    <w:r w:rsidRPr="00B71265">
      <w:fldChar w:fldCharType="begin"/>
    </w:r>
    <w:r w:rsidRPr="00B71265">
      <w:instrText xml:space="preserve"> PAGE  \* Arabic  \* MERGEFORMAT </w:instrText>
    </w:r>
    <w:r w:rsidRPr="00B71265">
      <w:fldChar w:fldCharType="separate"/>
    </w:r>
    <w:r w:rsidRPr="00B71265">
      <w:rPr>
        <w:noProof/>
      </w:rPr>
      <w:t>2</w:t>
    </w:r>
    <w:r w:rsidRPr="00B71265">
      <w:fldChar w:fldCharType="end"/>
    </w:r>
    <w:r w:rsidRPr="00B71265">
      <w:t xml:space="preserve"> of </w:t>
    </w:r>
    <w:r w:rsidR="00856B14">
      <w:fldChar w:fldCharType="begin"/>
    </w:r>
    <w:r w:rsidR="00856B14">
      <w:instrText>NUMPAGES  \* Arabic  \* MERGEFORMAT</w:instrText>
    </w:r>
    <w:r w:rsidR="00856B14">
      <w:fldChar w:fldCharType="separate"/>
    </w:r>
    <w:r w:rsidRPr="00B71265">
      <w:rPr>
        <w:noProof/>
      </w:rPr>
      <w:t>2</w:t>
    </w:r>
    <w:r w:rsidR="00856B14">
      <w:rPr>
        <w:noProof/>
      </w:rPr>
      <w:fldChar w:fldCharType="end"/>
    </w:r>
  </w:p>
  <w:p w14:paraId="4FF3E73B" w14:textId="77777777" w:rsidR="00B71265" w:rsidRDefault="00B71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189FA" w14:textId="77777777" w:rsidR="007D2542" w:rsidRDefault="007D2542" w:rsidP="00192562">
      <w:r>
        <w:separator/>
      </w:r>
    </w:p>
  </w:footnote>
  <w:footnote w:type="continuationSeparator" w:id="0">
    <w:p w14:paraId="1AAB4AEA" w14:textId="77777777" w:rsidR="007D2542" w:rsidRDefault="007D2542" w:rsidP="0019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D8D3" w14:textId="77777777" w:rsidR="00192562" w:rsidRPr="00FE2651" w:rsidRDefault="00192562" w:rsidP="00192562">
    <w:pPr>
      <w:pStyle w:val="Header"/>
      <w:jc w:val="right"/>
      <w:rPr>
        <w:b/>
        <w:bCs/>
      </w:rPr>
    </w:pPr>
    <w:r w:rsidRPr="00FE2651">
      <w:rPr>
        <w:b/>
        <w:bCs/>
      </w:rPr>
      <w:t>MFRP-16</w:t>
    </w:r>
  </w:p>
  <w:p w14:paraId="33F710B6" w14:textId="0CAF55D9" w:rsidR="00192562" w:rsidRPr="00FE2651" w:rsidRDefault="00180026" w:rsidP="00192562">
    <w:pPr>
      <w:pStyle w:val="Header"/>
      <w:jc w:val="right"/>
      <w:rPr>
        <w:b/>
        <w:bCs/>
      </w:rPr>
    </w:pPr>
    <w:r w:rsidRPr="00FE2651">
      <w:rPr>
        <w:b/>
        <w:bCs/>
      </w:rPr>
      <w:t xml:space="preserve">Docket No. </w:t>
    </w:r>
    <w:r w:rsidR="001D0919" w:rsidRPr="00FE2651">
      <w:rPr>
        <w:b/>
        <w:bCs/>
      </w:rPr>
      <w:t>44902</w:t>
    </w:r>
  </w:p>
  <w:p w14:paraId="2848EBE9" w14:textId="77777777" w:rsidR="00192562" w:rsidRDefault="001925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937F57"/>
    <w:multiLevelType w:val="multilevel"/>
    <w:tmpl w:val="430C72E6"/>
    <w:lvl w:ilvl="0">
      <w:start w:val="1"/>
      <w:numFmt w:val="upperRoman"/>
      <w:pStyle w:val="ExhibitA1"/>
      <w:lvlText w:val="%1."/>
      <w:lvlJc w:val="left"/>
      <w:pPr>
        <w:tabs>
          <w:tab w:val="num" w:pos="0"/>
        </w:tabs>
        <w:ind w:left="720" w:hanging="720"/>
      </w:pPr>
      <w:rPr>
        <w:rFonts w:ascii="Times New Roman Bold" w:hAnsi="Times New Roman Bold" w:cs="Times New Roman" w:hint="default"/>
        <w:b/>
        <w:i w:val="0"/>
        <w:caps w:val="0"/>
        <w:smallCaps w:val="0"/>
        <w:strike w:val="0"/>
        <w:dstrike w:val="0"/>
        <w:vanish w:val="0"/>
        <w:webHidden w:val="0"/>
        <w:color w:val="auto"/>
        <w:spacing w:val="0"/>
        <w:w w:val="100"/>
        <w:kern w:val="0"/>
        <w:position w:val="0"/>
        <w:sz w:val="24"/>
        <w:szCs w:val="3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ExhibitA2"/>
      <w:lvlText w:val="%2."/>
      <w:lvlJc w:val="left"/>
      <w:pPr>
        <w:tabs>
          <w:tab w:val="num" w:pos="0"/>
        </w:tabs>
        <w:ind w:left="14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szCs w:val="3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ExhibitA3"/>
      <w:lvlText w:val="%3."/>
      <w:lvlJc w:val="left"/>
      <w:pPr>
        <w:tabs>
          <w:tab w:val="num" w:pos="180"/>
        </w:tabs>
        <w:ind w:left="234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szCs w:val="2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ExhibitA4"/>
      <w:lvlText w:val="%4."/>
      <w:lvlJc w:val="left"/>
      <w:pPr>
        <w:tabs>
          <w:tab w:val="num" w:pos="0"/>
        </w:tabs>
        <w:ind w:left="2880" w:hanging="72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szCs w:val="3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xhibitA5"/>
      <w:suff w:val="nothing"/>
      <w:lvlText w:val=""/>
      <w:lvlJc w:val="left"/>
      <w:pPr>
        <w:tabs>
          <w:tab w:val="num" w:pos="0"/>
        </w:tabs>
        <w:ind w:left="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ExhibitA6"/>
      <w:suff w:val="nothing"/>
      <w:lvlText w:val=""/>
      <w:lvlJc w:val="left"/>
      <w:pPr>
        <w:tabs>
          <w:tab w:val="num" w:pos="0"/>
        </w:tabs>
        <w:ind w:left="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ExhibitA7"/>
      <w:suff w:val="nothing"/>
      <w:lvlText w:val=""/>
      <w:lvlJc w:val="left"/>
      <w:pPr>
        <w:tabs>
          <w:tab w:val="num" w:pos="0"/>
        </w:tabs>
        <w:ind w:left="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ExhibitA8"/>
      <w:suff w:val="nothing"/>
      <w:lvlText w:val=""/>
      <w:lvlJc w:val="left"/>
      <w:pPr>
        <w:tabs>
          <w:tab w:val="num" w:pos="0"/>
        </w:tabs>
        <w:ind w:left="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ExhibitA9"/>
      <w:suff w:val="nothing"/>
      <w:lvlText w:val=""/>
      <w:lvlJc w:val="left"/>
      <w:pPr>
        <w:tabs>
          <w:tab w:val="num" w:pos="0"/>
        </w:tabs>
        <w:ind w:left="0" w:firstLine="0"/>
      </w:pPr>
      <w:rPr>
        <w:rFonts w:ascii="Times New Roman" w:hAnsi="Times New Roman" w:cs="Times New Roman" w:hint="default"/>
        <w:b w:val="0"/>
        <w:i w:val="0"/>
        <w:caps w:val="0"/>
        <w:smallCaps w:val="0"/>
        <w:strike w:val="0"/>
        <w:dstrike w:val="0"/>
        <w:vanish w:val="0"/>
        <w:webHidden w:val="0"/>
        <w:color w:val="auto"/>
        <w:spacing w:val="0"/>
        <w:w w:val="10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68CC3551"/>
    <w:multiLevelType w:val="hybridMultilevel"/>
    <w:tmpl w:val="40B24E6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16cid:durableId="1329089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6482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562"/>
    <w:rsid w:val="000051A1"/>
    <w:rsid w:val="00011C02"/>
    <w:rsid w:val="00154427"/>
    <w:rsid w:val="00180026"/>
    <w:rsid w:val="00192562"/>
    <w:rsid w:val="001D0919"/>
    <w:rsid w:val="001D60EF"/>
    <w:rsid w:val="00240D10"/>
    <w:rsid w:val="00251477"/>
    <w:rsid w:val="00253DF5"/>
    <w:rsid w:val="002878D4"/>
    <w:rsid w:val="003068A4"/>
    <w:rsid w:val="0033639A"/>
    <w:rsid w:val="00397A8C"/>
    <w:rsid w:val="003A5FA1"/>
    <w:rsid w:val="004471E9"/>
    <w:rsid w:val="00566D2F"/>
    <w:rsid w:val="00627550"/>
    <w:rsid w:val="0063083C"/>
    <w:rsid w:val="0068252A"/>
    <w:rsid w:val="007117CE"/>
    <w:rsid w:val="007805FE"/>
    <w:rsid w:val="007D2542"/>
    <w:rsid w:val="00804639"/>
    <w:rsid w:val="00815763"/>
    <w:rsid w:val="00855D65"/>
    <w:rsid w:val="00856B14"/>
    <w:rsid w:val="008B0874"/>
    <w:rsid w:val="008C35C1"/>
    <w:rsid w:val="008F76AA"/>
    <w:rsid w:val="00923A46"/>
    <w:rsid w:val="009418A0"/>
    <w:rsid w:val="009B1E46"/>
    <w:rsid w:val="00A01DA8"/>
    <w:rsid w:val="00A86F30"/>
    <w:rsid w:val="00AA0093"/>
    <w:rsid w:val="00B157F5"/>
    <w:rsid w:val="00B71265"/>
    <w:rsid w:val="00C9071E"/>
    <w:rsid w:val="00CF1C60"/>
    <w:rsid w:val="00D7251E"/>
    <w:rsid w:val="00D75E29"/>
    <w:rsid w:val="00E11F54"/>
    <w:rsid w:val="00E71C3C"/>
    <w:rsid w:val="00F843D0"/>
    <w:rsid w:val="00FA225C"/>
    <w:rsid w:val="00FE2651"/>
    <w:rsid w:val="067593A2"/>
    <w:rsid w:val="0F0ECF2F"/>
    <w:rsid w:val="1F5F596E"/>
    <w:rsid w:val="206AF092"/>
    <w:rsid w:val="267699E8"/>
    <w:rsid w:val="4AFCDD15"/>
    <w:rsid w:val="56161691"/>
    <w:rsid w:val="56DA660F"/>
    <w:rsid w:val="6179E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B0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5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hibitA1">
    <w:name w:val="Exhibit A 1"/>
    <w:basedOn w:val="Normal"/>
    <w:next w:val="BodyText"/>
    <w:rsid w:val="00192562"/>
    <w:pPr>
      <w:numPr>
        <w:numId w:val="1"/>
      </w:numPr>
      <w:spacing w:after="240"/>
      <w:outlineLvl w:val="0"/>
    </w:pPr>
  </w:style>
  <w:style w:type="paragraph" w:customStyle="1" w:styleId="ExhibitA2">
    <w:name w:val="Exhibit A 2"/>
    <w:basedOn w:val="Normal"/>
    <w:next w:val="BodyText"/>
    <w:rsid w:val="00192562"/>
    <w:pPr>
      <w:numPr>
        <w:ilvl w:val="1"/>
        <w:numId w:val="1"/>
      </w:numPr>
      <w:outlineLvl w:val="1"/>
    </w:pPr>
  </w:style>
  <w:style w:type="paragraph" w:customStyle="1" w:styleId="ExhibitA3">
    <w:name w:val="Exhibit A 3"/>
    <w:basedOn w:val="Normal"/>
    <w:next w:val="BodyText"/>
    <w:rsid w:val="00192562"/>
    <w:pPr>
      <w:numPr>
        <w:ilvl w:val="2"/>
        <w:numId w:val="1"/>
      </w:numPr>
      <w:outlineLvl w:val="2"/>
    </w:pPr>
  </w:style>
  <w:style w:type="paragraph" w:customStyle="1" w:styleId="ExhibitA4">
    <w:name w:val="Exhibit A 4"/>
    <w:basedOn w:val="Normal"/>
    <w:next w:val="BodyText"/>
    <w:rsid w:val="00192562"/>
    <w:pPr>
      <w:numPr>
        <w:ilvl w:val="3"/>
        <w:numId w:val="1"/>
      </w:numPr>
      <w:outlineLvl w:val="3"/>
    </w:pPr>
  </w:style>
  <w:style w:type="paragraph" w:customStyle="1" w:styleId="ExhibitA5">
    <w:name w:val="Exhibit A 5"/>
    <w:basedOn w:val="Normal"/>
    <w:next w:val="BodyText"/>
    <w:rsid w:val="00192562"/>
    <w:pPr>
      <w:numPr>
        <w:ilvl w:val="4"/>
        <w:numId w:val="1"/>
      </w:numPr>
      <w:spacing w:after="240"/>
      <w:outlineLvl w:val="4"/>
    </w:pPr>
  </w:style>
  <w:style w:type="paragraph" w:customStyle="1" w:styleId="ExhibitA6">
    <w:name w:val="Exhibit A 6"/>
    <w:basedOn w:val="Normal"/>
    <w:next w:val="BodyText"/>
    <w:rsid w:val="00192562"/>
    <w:pPr>
      <w:numPr>
        <w:ilvl w:val="5"/>
        <w:numId w:val="1"/>
      </w:numPr>
      <w:spacing w:after="240"/>
      <w:outlineLvl w:val="5"/>
    </w:pPr>
  </w:style>
  <w:style w:type="paragraph" w:customStyle="1" w:styleId="ExhibitA7">
    <w:name w:val="Exhibit A 7"/>
    <w:basedOn w:val="Normal"/>
    <w:next w:val="BodyText"/>
    <w:rsid w:val="00192562"/>
    <w:pPr>
      <w:numPr>
        <w:ilvl w:val="6"/>
        <w:numId w:val="1"/>
      </w:numPr>
      <w:spacing w:after="240"/>
      <w:outlineLvl w:val="6"/>
    </w:pPr>
  </w:style>
  <w:style w:type="paragraph" w:customStyle="1" w:styleId="ExhibitA8">
    <w:name w:val="Exhibit A 8"/>
    <w:basedOn w:val="Normal"/>
    <w:next w:val="BodyText"/>
    <w:rsid w:val="00192562"/>
    <w:pPr>
      <w:numPr>
        <w:ilvl w:val="7"/>
        <w:numId w:val="1"/>
      </w:numPr>
      <w:spacing w:after="240"/>
      <w:outlineLvl w:val="7"/>
    </w:pPr>
  </w:style>
  <w:style w:type="paragraph" w:customStyle="1" w:styleId="ExhibitA9">
    <w:name w:val="Exhibit A 9"/>
    <w:basedOn w:val="Normal"/>
    <w:next w:val="BodyText"/>
    <w:rsid w:val="00192562"/>
    <w:pPr>
      <w:numPr>
        <w:ilvl w:val="8"/>
        <w:numId w:val="1"/>
      </w:numPr>
      <w:spacing w:after="240"/>
      <w:outlineLvl w:val="8"/>
    </w:pPr>
  </w:style>
  <w:style w:type="paragraph" w:styleId="BodyText">
    <w:name w:val="Body Text"/>
    <w:basedOn w:val="Normal"/>
    <w:link w:val="BodyTextChar"/>
    <w:uiPriority w:val="99"/>
    <w:semiHidden/>
    <w:unhideWhenUsed/>
    <w:rsid w:val="00192562"/>
    <w:pPr>
      <w:spacing w:after="120"/>
    </w:pPr>
  </w:style>
  <w:style w:type="character" w:customStyle="1" w:styleId="BodyTextChar">
    <w:name w:val="Body Text Char"/>
    <w:basedOn w:val="DefaultParagraphFont"/>
    <w:link w:val="BodyText"/>
    <w:uiPriority w:val="99"/>
    <w:semiHidden/>
    <w:rsid w:val="00192562"/>
    <w:rPr>
      <w:rFonts w:ascii="Times New Roman" w:eastAsia="Times New Roman" w:hAnsi="Times New Roman" w:cs="Times New Roman"/>
      <w:sz w:val="24"/>
      <w:szCs w:val="24"/>
    </w:rPr>
  </w:style>
  <w:style w:type="paragraph" w:styleId="Header">
    <w:name w:val="header"/>
    <w:basedOn w:val="Normal"/>
    <w:link w:val="HeaderChar"/>
    <w:unhideWhenUsed/>
    <w:rsid w:val="00192562"/>
    <w:pPr>
      <w:tabs>
        <w:tab w:val="center" w:pos="4680"/>
        <w:tab w:val="right" w:pos="9360"/>
      </w:tabs>
    </w:pPr>
  </w:style>
  <w:style w:type="character" w:customStyle="1" w:styleId="HeaderChar">
    <w:name w:val="Header Char"/>
    <w:basedOn w:val="DefaultParagraphFont"/>
    <w:link w:val="Header"/>
    <w:rsid w:val="0019256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2562"/>
    <w:pPr>
      <w:tabs>
        <w:tab w:val="center" w:pos="4680"/>
        <w:tab w:val="right" w:pos="9360"/>
      </w:tabs>
    </w:pPr>
  </w:style>
  <w:style w:type="character" w:customStyle="1" w:styleId="FooterChar">
    <w:name w:val="Footer Char"/>
    <w:basedOn w:val="DefaultParagraphFont"/>
    <w:link w:val="Footer"/>
    <w:uiPriority w:val="99"/>
    <w:rsid w:val="0019256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25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5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C35C1"/>
    <w:rPr>
      <w:sz w:val="16"/>
      <w:szCs w:val="16"/>
    </w:rPr>
  </w:style>
  <w:style w:type="paragraph" w:styleId="CommentText">
    <w:name w:val="annotation text"/>
    <w:basedOn w:val="Normal"/>
    <w:link w:val="CommentTextChar"/>
    <w:uiPriority w:val="99"/>
    <w:semiHidden/>
    <w:unhideWhenUsed/>
    <w:rsid w:val="008C35C1"/>
    <w:rPr>
      <w:sz w:val="20"/>
      <w:szCs w:val="20"/>
    </w:rPr>
  </w:style>
  <w:style w:type="character" w:customStyle="1" w:styleId="CommentTextChar">
    <w:name w:val="Comment Text Char"/>
    <w:basedOn w:val="DefaultParagraphFont"/>
    <w:link w:val="CommentText"/>
    <w:uiPriority w:val="99"/>
    <w:semiHidden/>
    <w:rsid w:val="008C35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35C1"/>
    <w:rPr>
      <w:b/>
      <w:bCs/>
    </w:rPr>
  </w:style>
  <w:style w:type="character" w:customStyle="1" w:styleId="CommentSubjectChar">
    <w:name w:val="Comment Subject Char"/>
    <w:basedOn w:val="CommentTextChar"/>
    <w:link w:val="CommentSubject"/>
    <w:uiPriority w:val="99"/>
    <w:semiHidden/>
    <w:rsid w:val="008C35C1"/>
    <w:rPr>
      <w:rFonts w:ascii="Times New Roman" w:eastAsia="Times New Roman" w:hAnsi="Times New Roman" w:cs="Times New Roman"/>
      <w:b/>
      <w:bCs/>
      <w:sz w:val="20"/>
      <w:szCs w:val="20"/>
    </w:rPr>
  </w:style>
  <w:style w:type="paragraph" w:styleId="Revision">
    <w:name w:val="Revision"/>
    <w:hidden/>
    <w:uiPriority w:val="99"/>
    <w:semiHidden/>
    <w:rsid w:val="008B087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157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98907">
      <w:bodyDiv w:val="1"/>
      <w:marLeft w:val="0"/>
      <w:marRight w:val="0"/>
      <w:marTop w:val="0"/>
      <w:marBottom w:val="0"/>
      <w:divBdr>
        <w:top w:val="none" w:sz="0" w:space="0" w:color="auto"/>
        <w:left w:val="none" w:sz="0" w:space="0" w:color="auto"/>
        <w:bottom w:val="none" w:sz="0" w:space="0" w:color="auto"/>
        <w:right w:val="none" w:sz="0" w:space="0" w:color="auto"/>
      </w:divBdr>
    </w:div>
    <w:div w:id="28353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3010</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2023-02-27T15:19:00Z</dcterms:created>
  <dcterms:modified xsi:type="dcterms:W3CDTF">2023-02-27T15:19:00Z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